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4730" w14:textId="77777777" w:rsidR="000F3F8C" w:rsidRDefault="00000000">
      <w:pPr>
        <w:jc w:val="center"/>
        <w:rPr>
          <w:rFonts w:ascii="黑体" w:eastAsia="黑体" w:hAnsi="黑体"/>
          <w:color w:val="404040" w:themeColor="text1" w:themeTint="BF"/>
          <w:sz w:val="36"/>
          <w:szCs w:val="36"/>
        </w:rPr>
      </w:pPr>
      <w:r>
        <w:rPr>
          <w:rFonts w:ascii="黑体" w:eastAsia="黑体" w:hAnsi="黑体" w:hint="eastAsia"/>
          <w:color w:val="404040" w:themeColor="text1" w:themeTint="BF"/>
          <w:sz w:val="36"/>
          <w:szCs w:val="36"/>
        </w:rPr>
        <w:t>联盟链的治理机制</w:t>
      </w:r>
    </w:p>
    <w:p w14:paraId="1C8AEEEE" w14:textId="77777777" w:rsidR="000F3F8C" w:rsidRDefault="00000000">
      <w:pPr>
        <w:pStyle w:val="a3"/>
        <w:numPr>
          <w:ilvl w:val="0"/>
          <w:numId w:val="1"/>
        </w:numPr>
        <w:spacing w:beforeLines="50" w:before="156"/>
        <w:ind w:left="431" w:firstLineChars="0" w:hanging="442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联盟链节点的加入流程</w:t>
      </w:r>
    </w:p>
    <w:p w14:paraId="18FCE8EB" w14:textId="77777777" w:rsidR="000F3F8C" w:rsidRDefault="00000000">
      <w:pPr>
        <w:pStyle w:val="a3"/>
        <w:numPr>
          <w:ilvl w:val="0"/>
          <w:numId w:val="2"/>
        </w:numPr>
        <w:ind w:left="884" w:firstLineChars="0" w:hanging="44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申请或邀请加入文创品牌联盟链节点。</w:t>
      </w:r>
    </w:p>
    <w:p w14:paraId="39804BA6" w14:textId="77777777" w:rsidR="000F3F8C" w:rsidRDefault="00000000">
      <w:pPr>
        <w:pStyle w:val="a3"/>
        <w:numPr>
          <w:ilvl w:val="0"/>
          <w:numId w:val="2"/>
        </w:numPr>
        <w:ind w:left="884" w:firstLineChars="0" w:hanging="44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签署“共识公约”。</w:t>
      </w:r>
    </w:p>
    <w:p w14:paraId="09E2F5B3" w14:textId="77777777" w:rsidR="000F3F8C" w:rsidRDefault="00000000">
      <w:pPr>
        <w:pStyle w:val="a3"/>
        <w:numPr>
          <w:ilvl w:val="0"/>
          <w:numId w:val="2"/>
        </w:numPr>
        <w:ind w:left="884" w:firstLineChars="0" w:hanging="44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签署“节点服务维护协议”。</w:t>
      </w:r>
    </w:p>
    <w:p w14:paraId="62F8980F" w14:textId="77777777" w:rsidR="000F3F8C" w:rsidRDefault="00000000">
      <w:pPr>
        <w:pStyle w:val="a3"/>
        <w:numPr>
          <w:ilvl w:val="0"/>
          <w:numId w:val="2"/>
        </w:numPr>
        <w:ind w:left="884" w:firstLineChars="0" w:hanging="44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开通节点服务。</w:t>
      </w:r>
    </w:p>
    <w:p w14:paraId="75EE74F3" w14:textId="77777777" w:rsidR="000F3F8C" w:rsidRDefault="00000000">
      <w:pPr>
        <w:pStyle w:val="a3"/>
        <w:numPr>
          <w:ilvl w:val="0"/>
          <w:numId w:val="2"/>
        </w:numPr>
        <w:ind w:left="884" w:firstLineChars="0" w:hanging="44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发展开发者进行节点应用开发。</w:t>
      </w:r>
    </w:p>
    <w:p w14:paraId="580997FF" w14:textId="77777777" w:rsidR="000F3F8C" w:rsidRDefault="00000000">
      <w:pPr>
        <w:pStyle w:val="a3"/>
        <w:numPr>
          <w:ilvl w:val="0"/>
          <w:numId w:val="2"/>
        </w:numPr>
        <w:ind w:left="884" w:firstLineChars="0" w:hanging="44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节点主动退出时，向联盟链常任节点会议发出申请，由常任节点会议委派联盟链的技术维护方关闭该节点的服务。在服务合同期内，退出节点可以随时申请恢复节点服务。剩余GAS可以继续使用。</w:t>
      </w:r>
    </w:p>
    <w:p w14:paraId="0318E616" w14:textId="77777777" w:rsidR="000F3F8C" w:rsidRDefault="00000000">
      <w:pPr>
        <w:pStyle w:val="a3"/>
        <w:numPr>
          <w:ilvl w:val="0"/>
          <w:numId w:val="2"/>
        </w:numPr>
        <w:ind w:left="884" w:firstLineChars="0" w:hanging="44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在节点服务有效期结束后的3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天内，如节点不进行“节点服务维护协议”的续费，经联盟链常任节点会议的书面批准，联盟</w:t>
      </w:r>
      <w:proofErr w:type="gramStart"/>
      <w:r>
        <w:rPr>
          <w:rFonts w:ascii="仿宋" w:eastAsia="仿宋" w:hAnsi="仿宋" w:hint="eastAsia"/>
          <w:sz w:val="32"/>
          <w:szCs w:val="32"/>
        </w:rPr>
        <w:t>链技术</w:t>
      </w:r>
      <w:proofErr w:type="gramEnd"/>
      <w:r>
        <w:rPr>
          <w:rFonts w:ascii="仿宋" w:eastAsia="仿宋" w:hAnsi="仿宋" w:hint="eastAsia"/>
          <w:sz w:val="32"/>
          <w:szCs w:val="32"/>
        </w:rPr>
        <w:t>维护方对该节点进行服务关闭。在节点服务续费完成后，该节点剩余的GAS和年费对应的GAS可以继续使用。</w:t>
      </w:r>
    </w:p>
    <w:p w14:paraId="6D3F824D" w14:textId="77777777" w:rsidR="000F3F8C" w:rsidRDefault="00000000">
      <w:pPr>
        <w:pStyle w:val="a3"/>
        <w:numPr>
          <w:ilvl w:val="0"/>
          <w:numId w:val="1"/>
        </w:numPr>
        <w:spacing w:beforeLines="50" w:before="156"/>
        <w:ind w:left="431" w:firstLineChars="0" w:hanging="442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联盟链节点的身份转换机制</w:t>
      </w:r>
    </w:p>
    <w:p w14:paraId="3876B98A" w14:textId="72049CCD" w:rsidR="000F3F8C" w:rsidRDefault="00000000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任何联盟链节点可以申请或推荐任何</w:t>
      </w:r>
      <w:r w:rsidR="00E867CC">
        <w:rPr>
          <w:rFonts w:ascii="仿宋" w:eastAsia="仿宋" w:hAnsi="仿宋" w:hint="eastAsia"/>
          <w:sz w:val="32"/>
          <w:szCs w:val="32"/>
        </w:rPr>
        <w:t>成员</w:t>
      </w:r>
      <w:r>
        <w:rPr>
          <w:rFonts w:ascii="仿宋" w:eastAsia="仿宋" w:hAnsi="仿宋" w:hint="eastAsia"/>
          <w:sz w:val="32"/>
          <w:szCs w:val="32"/>
        </w:rPr>
        <w:t>节点作为常任节点的候选节点。</w:t>
      </w:r>
    </w:p>
    <w:p w14:paraId="3DB8AD63" w14:textId="77777777" w:rsidR="000F3F8C" w:rsidRDefault="00000000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候选节点按照申请的前后时间依序候选。</w:t>
      </w:r>
    </w:p>
    <w:p w14:paraId="70E08907" w14:textId="4098338C" w:rsidR="000F3F8C" w:rsidRDefault="00000000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在某常任节点停止服务期间，经常任节点会议投票 表决后，候补节点由</w:t>
      </w:r>
      <w:r w:rsidR="00E867CC">
        <w:rPr>
          <w:rFonts w:ascii="仿宋" w:eastAsia="仿宋" w:hAnsi="仿宋" w:hint="eastAsia"/>
          <w:sz w:val="32"/>
          <w:szCs w:val="32"/>
        </w:rPr>
        <w:t>成员</w:t>
      </w:r>
      <w:r>
        <w:rPr>
          <w:rFonts w:ascii="仿宋" w:eastAsia="仿宋" w:hAnsi="仿宋" w:hint="eastAsia"/>
          <w:sz w:val="32"/>
          <w:szCs w:val="32"/>
        </w:rPr>
        <w:t>节点晋级为常任节点。</w:t>
      </w:r>
    </w:p>
    <w:p w14:paraId="70F5B81E" w14:textId="0CA7A5E7" w:rsidR="000F3F8C" w:rsidRDefault="00E867CC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成员节点晋级为常任节点后，将享有常任节点的所有权利和义务。</w:t>
      </w:r>
    </w:p>
    <w:p w14:paraId="1DA54A5E" w14:textId="349B968E" w:rsidR="000F3F8C" w:rsidRDefault="00000000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在某原常任节点恢复服务后，新晋级常任节点的</w:t>
      </w:r>
      <w:r w:rsidR="00E867CC">
        <w:rPr>
          <w:rFonts w:ascii="仿宋" w:eastAsia="仿宋" w:hAnsi="仿宋" w:hint="eastAsia"/>
          <w:sz w:val="32"/>
          <w:szCs w:val="32"/>
        </w:rPr>
        <w:t>成员</w:t>
      </w:r>
      <w:r>
        <w:rPr>
          <w:rFonts w:ascii="仿宋" w:eastAsia="仿宋" w:hAnsi="仿宋" w:hint="eastAsia"/>
          <w:sz w:val="32"/>
          <w:szCs w:val="32"/>
        </w:rPr>
        <w:t>节点将降级为</w:t>
      </w:r>
      <w:r w:rsidR="00E867CC">
        <w:rPr>
          <w:rFonts w:ascii="仿宋" w:eastAsia="仿宋" w:hAnsi="仿宋" w:hint="eastAsia"/>
          <w:sz w:val="32"/>
          <w:szCs w:val="32"/>
        </w:rPr>
        <w:t>成员</w:t>
      </w:r>
      <w:r>
        <w:rPr>
          <w:rFonts w:ascii="仿宋" w:eastAsia="仿宋" w:hAnsi="仿宋" w:hint="eastAsia"/>
          <w:sz w:val="32"/>
          <w:szCs w:val="32"/>
        </w:rPr>
        <w:t>节点，且需重新排队候补。</w:t>
      </w:r>
    </w:p>
    <w:p w14:paraId="6922A82D" w14:textId="268A1B88" w:rsidR="000F3F8C" w:rsidRDefault="00000000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如某原常任节点永久停止服务时，新晋级的</w:t>
      </w:r>
      <w:r w:rsidR="00E867CC">
        <w:rPr>
          <w:rFonts w:ascii="仿宋" w:eastAsia="仿宋" w:hAnsi="仿宋" w:hint="eastAsia"/>
          <w:sz w:val="32"/>
          <w:szCs w:val="32"/>
        </w:rPr>
        <w:t>成员</w:t>
      </w:r>
      <w:r>
        <w:rPr>
          <w:rFonts w:ascii="仿宋" w:eastAsia="仿宋" w:hAnsi="仿宋" w:hint="eastAsia"/>
          <w:sz w:val="32"/>
          <w:szCs w:val="32"/>
        </w:rPr>
        <w:t>节点将成为新的常任节点。</w:t>
      </w:r>
    </w:p>
    <w:p w14:paraId="719AB0BE" w14:textId="77777777" w:rsidR="000F3F8C" w:rsidRDefault="00000000">
      <w:pPr>
        <w:pStyle w:val="a3"/>
        <w:numPr>
          <w:ilvl w:val="0"/>
          <w:numId w:val="1"/>
        </w:numPr>
        <w:spacing w:beforeLines="50" w:before="156"/>
        <w:ind w:left="431" w:firstLineChars="0" w:hanging="442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联盟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链经费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的使用规则</w:t>
      </w:r>
    </w:p>
    <w:p w14:paraId="567B6687" w14:textId="77777777" w:rsidR="000F3F8C" w:rsidRDefault="00000000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联盟</w:t>
      </w:r>
      <w:proofErr w:type="gramStart"/>
      <w:r>
        <w:rPr>
          <w:rFonts w:ascii="仿宋" w:eastAsia="仿宋" w:hAnsi="仿宋" w:hint="eastAsia"/>
          <w:sz w:val="32"/>
          <w:szCs w:val="32"/>
        </w:rPr>
        <w:t>链经费</w:t>
      </w:r>
      <w:proofErr w:type="gramEnd"/>
      <w:r>
        <w:rPr>
          <w:rFonts w:ascii="仿宋" w:eastAsia="仿宋" w:hAnsi="仿宋" w:hint="eastAsia"/>
          <w:sz w:val="32"/>
          <w:szCs w:val="32"/>
        </w:rPr>
        <w:t>是指节点服务费的缴纳总和。</w:t>
      </w:r>
    </w:p>
    <w:p w14:paraId="57192C79" w14:textId="1B4EF50B" w:rsidR="000F3F8C" w:rsidRDefault="00000000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30%用于联盟链平台的技术维护。</w:t>
      </w:r>
    </w:p>
    <w:p w14:paraId="7BCBF937" w14:textId="3E4D029C" w:rsidR="000F3F8C" w:rsidRDefault="00AA38E9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%（初期）用于联盟链生态建立激励机制。该机制是联盟链生态创新发展重要的举措。是鼓励开发者基于联盟链的应用，进行开源开发。任何节点可发起经费使用申请，经联盟链常任节点会议形成意见报告，报请常任节点投票。依据投票结果确定经费发放与否。</w:t>
      </w:r>
    </w:p>
    <w:p w14:paraId="5B24BC53" w14:textId="30AB7FA7" w:rsidR="000F3F8C" w:rsidRDefault="00000000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%（初期）</w:t>
      </w:r>
      <w:bookmarkStart w:id="0" w:name="_Hlk156743074"/>
      <w:r>
        <w:rPr>
          <w:rFonts w:ascii="仿宋" w:eastAsia="仿宋" w:hAnsi="仿宋" w:hint="eastAsia"/>
          <w:sz w:val="32"/>
          <w:szCs w:val="32"/>
        </w:rPr>
        <w:t xml:space="preserve">用于为联盟链生态发展而组织的会议、展览、路演及宣传推广活动等。任何节点可发起经费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使用申请，经联盟链常任节点会议形成意见报告，报请常任节点投票。依据投票结果确定经费发放与否。</w:t>
      </w:r>
      <w:bookmarkEnd w:id="0"/>
    </w:p>
    <w:p w14:paraId="2B59940B" w14:textId="0F3D9CE2" w:rsidR="000F3F8C" w:rsidRDefault="00AA38E9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%</w:t>
      </w:r>
      <w:bookmarkStart w:id="1" w:name="_Hlk156743009"/>
      <w:r>
        <w:rPr>
          <w:rFonts w:ascii="仿宋" w:eastAsia="仿宋" w:hAnsi="仿宋" w:hint="eastAsia"/>
          <w:sz w:val="32"/>
          <w:szCs w:val="32"/>
        </w:rPr>
        <w:t>用于联盟链的日常运营支出</w:t>
      </w:r>
      <w:bookmarkEnd w:id="1"/>
      <w:r>
        <w:rPr>
          <w:rFonts w:ascii="仿宋" w:eastAsia="仿宋" w:hAnsi="仿宋" w:hint="eastAsia"/>
          <w:sz w:val="32"/>
          <w:szCs w:val="32"/>
        </w:rPr>
        <w:t>。</w:t>
      </w:r>
    </w:p>
    <w:p w14:paraId="2691464F" w14:textId="77777777" w:rsidR="000F3F8C" w:rsidRDefault="00000000">
      <w:pPr>
        <w:pStyle w:val="a3"/>
        <w:numPr>
          <w:ilvl w:val="0"/>
          <w:numId w:val="1"/>
        </w:numPr>
        <w:spacing w:beforeLines="50" w:before="156"/>
        <w:ind w:left="431" w:firstLineChars="0" w:hanging="442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联盟链GAS费的充值规则</w:t>
      </w:r>
    </w:p>
    <w:p w14:paraId="2E431626" w14:textId="77777777" w:rsidR="000F3F8C" w:rsidRDefault="00000000">
      <w:pPr>
        <w:spacing w:beforeLines="50" w:before="156"/>
        <w:ind w:left="-1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noProof/>
          <w:sz w:val="32"/>
          <w:szCs w:val="32"/>
        </w:rPr>
        <w:lastRenderedPageBreak/>
        <w:drawing>
          <wp:inline distT="0" distB="0" distL="0" distR="0" wp14:anchorId="6F1D23F1" wp14:editId="4BF8C192">
            <wp:extent cx="5400040" cy="3780790"/>
            <wp:effectExtent l="0" t="0" r="0" b="0"/>
            <wp:docPr id="20760089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08992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5744A" w14:textId="77777777" w:rsidR="000F3F8C" w:rsidRDefault="00000000">
      <w:pPr>
        <w:pStyle w:val="a3"/>
        <w:numPr>
          <w:ilvl w:val="0"/>
          <w:numId w:val="1"/>
        </w:numPr>
        <w:spacing w:beforeLines="50" w:before="156"/>
        <w:ind w:left="431" w:firstLineChars="0" w:hanging="442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联盟链的投票机制</w:t>
      </w:r>
    </w:p>
    <w:p w14:paraId="723B1578" w14:textId="77777777" w:rsidR="000F3F8C" w:rsidRDefault="00000000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</w:t>
      </w:r>
      <w:proofErr w:type="gramStart"/>
      <w:r>
        <w:rPr>
          <w:rFonts w:ascii="仿宋" w:eastAsia="仿宋" w:hAnsi="仿宋" w:hint="eastAsia"/>
          <w:sz w:val="32"/>
          <w:szCs w:val="32"/>
        </w:rPr>
        <w:t>联盟链某节点</w:t>
      </w:r>
      <w:proofErr w:type="gramEnd"/>
      <w:r>
        <w:rPr>
          <w:rFonts w:ascii="仿宋" w:eastAsia="仿宋" w:hAnsi="仿宋" w:hint="eastAsia"/>
          <w:sz w:val="32"/>
          <w:szCs w:val="32"/>
        </w:rPr>
        <w:t>存在违规行为时，由联盟链任意节点发起处置申请，由联盟链常任节点会议进行投票表决，确定处置结果。</w:t>
      </w:r>
    </w:p>
    <w:p w14:paraId="5FB38D96" w14:textId="77777777" w:rsidR="000F3F8C" w:rsidRDefault="00000000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投票表决的选项分为“同意”、“反对”和“弃权”。</w:t>
      </w:r>
    </w:p>
    <w:p w14:paraId="064B8A0A" w14:textId="77777777" w:rsidR="000F3F8C" w:rsidRDefault="00000000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投票期设定为5个工作日。</w:t>
      </w:r>
    </w:p>
    <w:p w14:paraId="1AFB4D3E" w14:textId="77777777" w:rsidR="000F3F8C" w:rsidRDefault="00000000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处置结果按超过</w:t>
      </w:r>
      <w:r>
        <w:rPr>
          <w:rFonts w:ascii="仿宋" w:eastAsia="仿宋" w:hAnsi="仿宋"/>
          <w:sz w:val="32"/>
          <w:szCs w:val="32"/>
        </w:rPr>
        <w:t>60%</w:t>
      </w:r>
      <w:r>
        <w:rPr>
          <w:rFonts w:ascii="仿宋" w:eastAsia="仿宋" w:hAnsi="仿宋" w:hint="eastAsia"/>
          <w:sz w:val="32"/>
          <w:szCs w:val="32"/>
        </w:rPr>
        <w:t>的实际投票意见进行处置。</w:t>
      </w:r>
    </w:p>
    <w:p w14:paraId="35CF126D" w14:textId="77777777" w:rsidR="000F3F8C" w:rsidRDefault="00000000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在投票期内，没有进行投票，视为默认同意。</w:t>
      </w:r>
    </w:p>
    <w:p w14:paraId="64029D56" w14:textId="77777777" w:rsidR="000F3F8C" w:rsidRDefault="00000000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在投票期内，全部常任节点没有进行投票，处置申请视为无效，需再次发起申请，直至产生处置结果。</w:t>
      </w:r>
    </w:p>
    <w:p w14:paraId="535ADFDB" w14:textId="77777777" w:rsidR="000F3F8C" w:rsidRDefault="00000000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处置结果出现5</w:t>
      </w:r>
      <w:r>
        <w:rPr>
          <w:rFonts w:ascii="仿宋" w:eastAsia="仿宋" w:hAnsi="仿宋"/>
          <w:sz w:val="32"/>
          <w:szCs w:val="32"/>
        </w:rPr>
        <w:t>0%</w:t>
      </w:r>
      <w:r>
        <w:rPr>
          <w:rFonts w:ascii="仿宋" w:eastAsia="仿宋" w:hAnsi="仿宋" w:hint="eastAsia"/>
          <w:sz w:val="32"/>
          <w:szCs w:val="32"/>
        </w:rPr>
        <w:t>对5</w:t>
      </w:r>
      <w:r>
        <w:rPr>
          <w:rFonts w:ascii="仿宋" w:eastAsia="仿宋" w:hAnsi="仿宋"/>
          <w:sz w:val="32"/>
          <w:szCs w:val="32"/>
        </w:rPr>
        <w:t>0%</w:t>
      </w:r>
      <w:r>
        <w:rPr>
          <w:rFonts w:ascii="仿宋" w:eastAsia="仿宋" w:hAnsi="仿宋" w:hint="eastAsia"/>
          <w:sz w:val="32"/>
          <w:szCs w:val="32"/>
        </w:rPr>
        <w:t>时，处置申请视为无效，需再次发起申请，直至产生处置结果。</w:t>
      </w:r>
    </w:p>
    <w:p w14:paraId="604AB8D0" w14:textId="77777777" w:rsidR="000F3F8C" w:rsidRDefault="00000000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根据违规责任影响程度，处置结果分为停用节点服务和永久关闭节点服务。</w:t>
      </w:r>
    </w:p>
    <w:p w14:paraId="2DA0DEC0" w14:textId="77777777" w:rsidR="000F3F8C" w:rsidRDefault="00000000">
      <w:pPr>
        <w:pStyle w:val="a3"/>
        <w:numPr>
          <w:ilvl w:val="0"/>
          <w:numId w:val="1"/>
        </w:numPr>
        <w:spacing w:beforeLines="50" w:before="156"/>
        <w:ind w:left="431" w:firstLineChars="0" w:hanging="442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开发者的使用说明</w:t>
      </w:r>
    </w:p>
    <w:p w14:paraId="0F8E47C4" w14:textId="77777777" w:rsidR="000F3F8C" w:rsidRDefault="00000000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开发者是指为联盟链节点提供应用开发的群体。</w:t>
      </w:r>
    </w:p>
    <w:p w14:paraId="6063DFC6" w14:textId="77777777" w:rsidR="000F3F8C" w:rsidRDefault="00000000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开发者可通过任意联盟链节</w:t>
      </w:r>
      <w:proofErr w:type="gramStart"/>
      <w:r>
        <w:rPr>
          <w:rFonts w:ascii="仿宋" w:eastAsia="仿宋" w:hAnsi="仿宋" w:hint="eastAsia"/>
          <w:sz w:val="32"/>
          <w:szCs w:val="32"/>
        </w:rPr>
        <w:t>点申请</w:t>
      </w:r>
      <w:proofErr w:type="gramEnd"/>
      <w:r>
        <w:rPr>
          <w:rFonts w:ascii="仿宋" w:eastAsia="仿宋" w:hAnsi="仿宋" w:hint="eastAsia"/>
          <w:sz w:val="32"/>
          <w:szCs w:val="32"/>
        </w:rPr>
        <w:t>成为应用开发者。</w:t>
      </w:r>
    </w:p>
    <w:p w14:paraId="728CAA42" w14:textId="77777777" w:rsidR="000F3F8C" w:rsidRDefault="00000000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开发应用所需GAS在申请节点的GAS池中进行扣除。申请节点有权对开发者按照联盟</w:t>
      </w:r>
      <w:proofErr w:type="gramStart"/>
      <w:r>
        <w:rPr>
          <w:rFonts w:ascii="仿宋" w:eastAsia="仿宋" w:hAnsi="仿宋" w:hint="eastAsia"/>
          <w:sz w:val="32"/>
          <w:szCs w:val="32"/>
        </w:rPr>
        <w:t>链统一</w:t>
      </w:r>
      <w:proofErr w:type="gramEnd"/>
      <w:r>
        <w:rPr>
          <w:rFonts w:ascii="仿宋" w:eastAsia="仿宋" w:hAnsi="仿宋" w:hint="eastAsia"/>
          <w:sz w:val="32"/>
          <w:szCs w:val="32"/>
        </w:rPr>
        <w:t>定价规则进行上链费用的收取。</w:t>
      </w:r>
    </w:p>
    <w:p w14:paraId="196CA56F" w14:textId="77777777" w:rsidR="000F3F8C" w:rsidRDefault="00000000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联盟链节点需要对应用开发者的应用进行管理。应用产生的各项责任需由该节点全部承担。</w:t>
      </w:r>
    </w:p>
    <w:p w14:paraId="781345BF" w14:textId="77777777" w:rsidR="000F3F8C" w:rsidRDefault="00000000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联盟链节点可使用DAOP平台（数字资产开放平台）简化节点对开发者的管理；降低开发者的开发难度。</w:t>
      </w:r>
    </w:p>
    <w:p w14:paraId="1667B9F5" w14:textId="77777777" w:rsidR="000F3F8C" w:rsidRDefault="00000000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DAOP平台（数字资产开放平台）演示。</w:t>
      </w:r>
    </w:p>
    <w:p w14:paraId="2455B25D" w14:textId="77777777" w:rsidR="000F3F8C" w:rsidRDefault="00000000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开发者可以通过联盟</w:t>
      </w:r>
      <w:proofErr w:type="gramStart"/>
      <w:r>
        <w:rPr>
          <w:rFonts w:ascii="仿宋" w:eastAsia="仿宋" w:hAnsi="仿宋" w:hint="eastAsia"/>
          <w:sz w:val="32"/>
          <w:szCs w:val="32"/>
        </w:rPr>
        <w:t>链公开</w:t>
      </w:r>
      <w:proofErr w:type="gramEnd"/>
      <w:r>
        <w:rPr>
          <w:rFonts w:ascii="仿宋" w:eastAsia="仿宋" w:hAnsi="仿宋" w:hint="eastAsia"/>
          <w:sz w:val="32"/>
          <w:szCs w:val="32"/>
        </w:rPr>
        <w:t>的浏览器和管理工具集进行检索及查询。</w:t>
      </w:r>
    </w:p>
    <w:p w14:paraId="06A862C5" w14:textId="77777777" w:rsidR="000F3F8C" w:rsidRDefault="00000000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文创品牌联盟链浏览器和管理工具集演示。</w:t>
      </w:r>
    </w:p>
    <w:p w14:paraId="04E1CFE6" w14:textId="77777777" w:rsidR="000F3F8C" w:rsidRDefault="00000000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开发平台使用说明</w:t>
      </w:r>
    </w:p>
    <w:p w14:paraId="65F16419" w14:textId="77777777" w:rsidR="000F3F8C" w:rsidRDefault="00000000">
      <w:pPr>
        <w:pStyle w:val="a3"/>
        <w:numPr>
          <w:ilvl w:val="1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开发者在联盟节点DAOP平台（https://daop-lianmeng.stars-mine.com）上注册开发者账号；</w:t>
      </w:r>
    </w:p>
    <w:p w14:paraId="789A0019" w14:textId="77777777" w:rsidR="000F3F8C" w:rsidRDefault="00000000">
      <w:pPr>
        <w:pStyle w:val="a3"/>
        <w:numPr>
          <w:ilvl w:val="1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注册后在账户管理中进行实名认证和开发者认证，同意服务条款，经过平台审核后即可进行开发工作；</w:t>
      </w:r>
    </w:p>
    <w:p w14:paraId="4702CA4C" w14:textId="77777777" w:rsidR="000F3F8C" w:rsidRDefault="00000000">
      <w:pPr>
        <w:pStyle w:val="a3"/>
        <w:numPr>
          <w:ilvl w:val="1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在开发者中心创建符合需求的自有应用；</w:t>
      </w:r>
    </w:p>
    <w:p w14:paraId="5117B254" w14:textId="7957475E" w:rsidR="000F3F8C" w:rsidRDefault="00000000">
      <w:pPr>
        <w:pStyle w:val="a3"/>
        <w:numPr>
          <w:ilvl w:val="1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开发者参</w:t>
      </w:r>
      <w:r w:rsidR="00A1403B">
        <w:rPr>
          <w:rFonts w:ascii="仿宋" w:eastAsia="仿宋" w:hAnsi="仿宋" w:hint="eastAsia"/>
          <w:sz w:val="32"/>
          <w:szCs w:val="32"/>
        </w:rPr>
        <w:t>照</w:t>
      </w:r>
      <w:r>
        <w:rPr>
          <w:rFonts w:ascii="仿宋" w:eastAsia="仿宋" w:hAnsi="仿宋" w:hint="eastAsia"/>
          <w:sz w:val="32"/>
          <w:szCs w:val="32"/>
        </w:rPr>
        <w:t>DAOP平台的开发文档</w:t>
      </w:r>
      <w:r w:rsidRPr="0022401B">
        <w:rPr>
          <w:rFonts w:ascii="仿宋" w:eastAsia="仿宋" w:hAnsi="仿宋" w:hint="eastAsia"/>
          <w:sz w:val="30"/>
          <w:szCs w:val="30"/>
        </w:rPr>
        <w:t>（https://daop-lianmeng.stars-mine.com/open/docs/）</w:t>
      </w:r>
      <w:r>
        <w:rPr>
          <w:rFonts w:ascii="仿宋" w:eastAsia="仿宋" w:hAnsi="仿宋" w:hint="eastAsia"/>
          <w:sz w:val="32"/>
          <w:szCs w:val="32"/>
        </w:rPr>
        <w:t>实现各个接口的对接，完成自有应用的开发。</w:t>
      </w:r>
    </w:p>
    <w:p w14:paraId="15212FDD" w14:textId="77777777" w:rsidR="000F3F8C" w:rsidRDefault="000F3F8C">
      <w:pPr>
        <w:pStyle w:val="a3"/>
        <w:ind w:left="880" w:firstLineChars="0" w:firstLine="0"/>
        <w:rPr>
          <w:rFonts w:ascii="仿宋" w:eastAsia="仿宋" w:hAnsi="仿宋"/>
          <w:sz w:val="32"/>
          <w:szCs w:val="32"/>
        </w:rPr>
      </w:pPr>
    </w:p>
    <w:p w14:paraId="3535E19D" w14:textId="77777777" w:rsidR="000F3F8C" w:rsidRDefault="000F3F8C"/>
    <w:sectPr w:rsidR="000F3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79BB" w14:textId="77777777" w:rsidR="00B613DE" w:rsidRDefault="00B613DE" w:rsidP="00AA38E9">
      <w:r>
        <w:separator/>
      </w:r>
    </w:p>
  </w:endnote>
  <w:endnote w:type="continuationSeparator" w:id="0">
    <w:p w14:paraId="3912D8CF" w14:textId="77777777" w:rsidR="00B613DE" w:rsidRDefault="00B613DE" w:rsidP="00AA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837A" w14:textId="77777777" w:rsidR="00B613DE" w:rsidRDefault="00B613DE" w:rsidP="00AA38E9">
      <w:r>
        <w:separator/>
      </w:r>
    </w:p>
  </w:footnote>
  <w:footnote w:type="continuationSeparator" w:id="0">
    <w:p w14:paraId="69291C0C" w14:textId="77777777" w:rsidR="00B613DE" w:rsidRDefault="00B613DE" w:rsidP="00AA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F39"/>
    <w:multiLevelType w:val="multilevel"/>
    <w:tmpl w:val="041F3F39"/>
    <w:lvl w:ilvl="0">
      <w:start w:val="1"/>
      <w:numFmt w:val="chineseCountingThousand"/>
      <w:lvlText w:val="(%1)"/>
      <w:lvlJc w:val="left"/>
      <w:pPr>
        <w:ind w:left="880" w:hanging="440"/>
      </w:p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73A7B87"/>
    <w:multiLevelType w:val="multilevel"/>
    <w:tmpl w:val="073A7B87"/>
    <w:lvl w:ilvl="0">
      <w:start w:val="1"/>
      <w:numFmt w:val="chineseCountingThousand"/>
      <w:lvlText w:val="(%1)"/>
      <w:lvlJc w:val="left"/>
      <w:pPr>
        <w:ind w:left="880" w:hanging="440"/>
      </w:p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2EA3CC6"/>
    <w:multiLevelType w:val="multilevel"/>
    <w:tmpl w:val="12EA3CC6"/>
    <w:lvl w:ilvl="0">
      <w:start w:val="1"/>
      <w:numFmt w:val="bullet"/>
      <w:lvlText w:val=""/>
      <w:lvlJc w:val="left"/>
      <w:pPr>
        <w:ind w:left="132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" w15:restartNumberingAfterBreak="0">
    <w:nsid w:val="2FF20CA6"/>
    <w:multiLevelType w:val="multilevel"/>
    <w:tmpl w:val="2FF20CA6"/>
    <w:lvl w:ilvl="0">
      <w:start w:val="1"/>
      <w:numFmt w:val="chineseCountingThousand"/>
      <w:lvlText w:val="(%1)"/>
      <w:lvlJc w:val="left"/>
      <w:pPr>
        <w:ind w:left="880" w:hanging="440"/>
      </w:p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E2E2945"/>
    <w:multiLevelType w:val="multilevel"/>
    <w:tmpl w:val="3E2E2945"/>
    <w:lvl w:ilvl="0">
      <w:start w:val="1"/>
      <w:numFmt w:val="chineseCountingThousand"/>
      <w:lvlText w:val="(%1)"/>
      <w:lvlJc w:val="left"/>
      <w:pPr>
        <w:ind w:left="880" w:hanging="440"/>
      </w:p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448B4E71"/>
    <w:multiLevelType w:val="multilevel"/>
    <w:tmpl w:val="448B4E71"/>
    <w:lvl w:ilvl="0">
      <w:start w:val="1"/>
      <w:numFmt w:val="chineseCountingThousand"/>
      <w:lvlText w:val="%1."/>
      <w:lvlJc w:val="left"/>
      <w:pPr>
        <w:ind w:left="88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6A31416"/>
    <w:multiLevelType w:val="multilevel"/>
    <w:tmpl w:val="46A31416"/>
    <w:lvl w:ilvl="0">
      <w:start w:val="1"/>
      <w:numFmt w:val="chineseCountingThousand"/>
      <w:lvlText w:val="(%1)"/>
      <w:lvlJc w:val="left"/>
      <w:pPr>
        <w:ind w:left="880" w:hanging="440"/>
      </w:p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num w:numId="1" w16cid:durableId="978649257">
    <w:abstractNumId w:val="5"/>
  </w:num>
  <w:num w:numId="2" w16cid:durableId="2031056693">
    <w:abstractNumId w:val="3"/>
  </w:num>
  <w:num w:numId="3" w16cid:durableId="572668957">
    <w:abstractNumId w:val="4"/>
  </w:num>
  <w:num w:numId="4" w16cid:durableId="1679887623">
    <w:abstractNumId w:val="1"/>
  </w:num>
  <w:num w:numId="5" w16cid:durableId="538737957">
    <w:abstractNumId w:val="6"/>
  </w:num>
  <w:num w:numId="6" w16cid:durableId="1408847383">
    <w:abstractNumId w:val="0"/>
  </w:num>
  <w:num w:numId="7" w16cid:durableId="1163475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EE"/>
    <w:rsid w:val="FFF945CE"/>
    <w:rsid w:val="000F3F8C"/>
    <w:rsid w:val="0022401B"/>
    <w:rsid w:val="003334EA"/>
    <w:rsid w:val="004A10EE"/>
    <w:rsid w:val="005D158E"/>
    <w:rsid w:val="00722C70"/>
    <w:rsid w:val="00734CE5"/>
    <w:rsid w:val="008F4558"/>
    <w:rsid w:val="009F331B"/>
    <w:rsid w:val="00A1403B"/>
    <w:rsid w:val="00AA38E9"/>
    <w:rsid w:val="00AB442D"/>
    <w:rsid w:val="00B613DE"/>
    <w:rsid w:val="00E8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9615A"/>
  <w15:docId w15:val="{EA271F16-4686-4AA2-8A26-38B6F26A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A38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A38E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A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A38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骁 马</dc:creator>
  <cp:lastModifiedBy>骁 马</cp:lastModifiedBy>
  <cp:revision>6</cp:revision>
  <dcterms:created xsi:type="dcterms:W3CDTF">2024-01-02T23:52:00Z</dcterms:created>
  <dcterms:modified xsi:type="dcterms:W3CDTF">2024-01-21T07:30:00Z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393CA6202423AE6BACC09465F469AC51_42</vt:lpwstr>
  </property>
</Properties>
</file>